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F588">
      <w:pPr>
        <w:pStyle w:val="3"/>
        <w:ind w:firstLine="0" w:firstLineChars="0"/>
        <w:jc w:val="both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29397DE9">
      <w:pPr>
        <w:ind w:firstLine="1760" w:firstLineChars="400"/>
        <w:jc w:val="both"/>
        <w:rPr>
          <w:rFonts w:hint="default" w:ascii="Times New Roman" w:hAnsi="Times New Roman" w:eastAsia="方正小标宋简体" w:cs="Times New Roman"/>
          <w:color w:val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工程造价咨询企业自查报告表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07"/>
        <w:gridCol w:w="1143"/>
        <w:gridCol w:w="864"/>
        <w:gridCol w:w="323"/>
        <w:gridCol w:w="12"/>
        <w:gridCol w:w="1822"/>
        <w:gridCol w:w="110"/>
        <w:gridCol w:w="709"/>
        <w:gridCol w:w="1035"/>
        <w:gridCol w:w="1233"/>
      </w:tblGrid>
      <w:tr w14:paraId="0FE3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EBC6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企业名称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1C32">
            <w:pPr>
              <w:spacing w:line="320" w:lineRule="exact"/>
              <w:ind w:firstLine="120" w:firstLineChars="5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A0D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5E3C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A2BE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666B">
            <w:pPr>
              <w:autoSpaceDE w:val="0"/>
              <w:spacing w:line="320" w:lineRule="exact"/>
              <w:ind w:left="228" w:hanging="240" w:hanging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成立时间（或新增工程造价相关经营范围时间）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D731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593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6764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企业注册地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3CB6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AAE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DF3C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"/>
              </w:rPr>
              <w:t>办公地址</w:t>
            </w:r>
          </w:p>
          <w:p w14:paraId="54933812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" w:eastAsia="zh-CN"/>
              </w:rPr>
              <w:t>外省公司填写在河南办公地址）</w:t>
            </w:r>
          </w:p>
        </w:tc>
        <w:tc>
          <w:tcPr>
            <w:tcW w:w="7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E5BF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581A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981A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企业联系人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9564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7E05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联系方式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AEAA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4D9F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0F81">
            <w:pPr>
              <w:spacing w:line="320" w:lineRule="exact"/>
              <w:jc w:val="both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专职专业人员情况</w:t>
            </w:r>
          </w:p>
        </w:tc>
      </w:tr>
      <w:tr w14:paraId="4B01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635A">
            <w:pPr>
              <w:spacing w:line="320" w:lineRule="exact"/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一级注册造价工程师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69B8E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BEFE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1034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二级注册造价工程师或其它专职专业人员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D661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ACCC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C10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3C5D4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00C4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劳动合同</w:t>
            </w:r>
          </w:p>
          <w:p w14:paraId="3EA2F40F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签订情况</w:t>
            </w: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26A00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C5FF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F50A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劳动合同</w:t>
            </w:r>
          </w:p>
          <w:p w14:paraId="08808543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签订情况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F8E2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119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CE2D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35E3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社保缴</w:t>
            </w:r>
          </w:p>
          <w:p w14:paraId="051343E0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纳情况</w:t>
            </w: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4957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BC41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D4E6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社保缴</w:t>
            </w:r>
          </w:p>
          <w:p w14:paraId="6AE6BD09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纳情况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60F7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45C2646A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C43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C2E6B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企业技术档案管理制度、质量控制制度、财务管理制度建立及执行情况</w:t>
            </w:r>
          </w:p>
        </w:tc>
        <w:tc>
          <w:tcPr>
            <w:tcW w:w="61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68AC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762D5B6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</w:t>
            </w:r>
          </w:p>
        </w:tc>
      </w:tr>
      <w:tr w14:paraId="6190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2658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咨询成果文件完成质量</w:t>
            </w:r>
          </w:p>
        </w:tc>
        <w:tc>
          <w:tcPr>
            <w:tcW w:w="61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8A82B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5EB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E915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检查期内是否存在违反有关法律、法规和规章及有关标准的行为</w:t>
            </w:r>
          </w:p>
        </w:tc>
        <w:tc>
          <w:tcPr>
            <w:tcW w:w="61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2848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6F4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E1D4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1EFADB71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以来完成的造价咨询合同数量</w:t>
            </w:r>
          </w:p>
          <w:p w14:paraId="3DABD75A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1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54EB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6548F7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2025-09-04T08:25:07Z</dcterms:created>
  <dc:creator>Administrator</dc:creator>
  <cp:lastModifiedBy>zyl小鲤</cp:lastModifiedBy>
  <dcterms:modified xsi:type="dcterms:W3CDTF">2025-09-04T08:25:12Z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eyJoZGlkIjoiODk0Y2M4ZGRhOTUwYzIxMzU3NmMyNzY5NWJmNzFlY2MiLCJ1c2VySWQiOiIzMTQ4NDA3MTQifQ==</vt:lpwstr>
  </property>
  <property fmtid="{D5CDD505-2E9C-101B-9397-08002B2CF9AE}" pid="4" name="ICV">
    <vt:lpwstr>E91153481344495B8BF7E14E66C4DEE3_12</vt:lpwstr>
  </property>
</Properties>
</file>